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pujfn2t23le6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0"/>
          <w:szCs w:val="20"/>
          <w:rtl w:val="0"/>
        </w:rPr>
        <w:t xml:space="preserve">Технический паспорт, инструкция по хранению, монтажу и эксплуатации</w:t>
      </w:r>
    </w:p>
    <w:p w:rsidR="00000000" w:rsidDel="00000000" w:rsidP="00000000" w:rsidRDefault="00000000" w:rsidRPr="00000000" w14:paraId="00000002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isx0hsjcopb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13"/>
          <w:szCs w:val="13"/>
          <w:highlight w:val="white"/>
        </w:rPr>
      </w:pPr>
      <w:bookmarkStart w:colFirst="0" w:colLast="0" w:name="_lnrywo69apyi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8"/>
          <w:szCs w:val="28"/>
          <w:highlight w:val="white"/>
          <w:rtl w:val="0"/>
        </w:rPr>
        <w:t xml:space="preserve">Панель 6” настенная встраиваемая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0"/>
        <w:jc w:val="center"/>
        <w:rPr>
          <w:rFonts w:ascii="Cambria" w:cs="Cambria" w:eastAsia="Cambria" w:hAnsi="Cambria"/>
          <w:color w:val="333333"/>
          <w:sz w:val="23"/>
          <w:szCs w:val="23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1. Назначение и область применения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Устройство  с экраном 6" предназначено  для управления системами автоматизации, аудио-видео оборудованием и IoT устройствами.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Благодаря высокой производительности и качественному IPS-дисплею панель обеспечивает удобное взаимодействие с интерфейсами управления помещениями и умным домом. Поддержка как шаблонных, так и кастомных интерфейсов позволяет интеграторам создавать гибкие и наглядные системы управления.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зависит от прилагаемого прикладного программного обеспечения.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Ссылка на электронную версию документацию: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iridi.com/ru/d/P6bb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2. Технические характеристики</w:t>
      </w:r>
    </w:p>
    <w:p w:rsidR="00000000" w:rsidDel="00000000" w:rsidP="00000000" w:rsidRDefault="00000000" w:rsidRPr="00000000" w14:paraId="0000000D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3075"/>
        <w:tblGridChange w:id="0">
          <w:tblGrid>
            <w:gridCol w:w="2085"/>
            <w:gridCol w:w="30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hlw3ioc8179j" w:id="3"/>
            <w:bookmarkEnd w:id="3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Процессор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ac6pvueffm8" w:id="4"/>
            <w:bookmarkEnd w:id="4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RK3399 Rockchip</w:t>
            </w:r>
          </w:p>
          <w:p w:rsidR="00000000" w:rsidDel="00000000" w:rsidP="00000000" w:rsidRDefault="00000000" w:rsidRPr="00000000" w14:paraId="0000001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n5m1oo85tqnx" w:id="5"/>
            <w:bookmarkEnd w:id="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x Cortex-A72 2000 МГц, 4 x Cortex-A53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bm1wl4f7ft2i" w:id="6"/>
            <w:bookmarkEnd w:id="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Оперативная память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pfbikixr7sdp" w:id="7"/>
            <w:bookmarkEnd w:id="7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GB, DDR4</w:t>
            </w:r>
          </w:p>
        </w:tc>
      </w:tr>
      <w:tr>
        <w:trPr>
          <w:cantSplit w:val="0"/>
          <w:trHeight w:val="135.15624999999997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bezz5ny7ycvb" w:id="8"/>
            <w:bookmarkEnd w:id="8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Энергонезависимая память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hu5fefqek53q" w:id="9"/>
            <w:bookmarkEnd w:id="9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16 GB, eMMC Flash 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rkwltul89jda" w:id="10"/>
            <w:bookmarkEnd w:id="1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Часы реального времени (RTC)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ve9f08csoogv" w:id="11"/>
            <w:bookmarkEnd w:id="11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есть, </w:t>
              <w:br w:type="textWrapping"/>
              <w:t xml:space="preserve">батарея литиевая CR1220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Экран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емкостный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Диагональ экрана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6”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Технология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IPS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Разрешение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1280X720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Яркость, cd/m2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350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Угол обзора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не менее 170°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l49dr2c1rauv" w:id="12"/>
            <w:bookmarkEnd w:id="12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Интерфейсы: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970kqjt65tr8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7kxb7supyi0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bs1g9m3xnbgc" w:id="15"/>
            <w:bookmarkEnd w:id="1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 100 Мбит/с </w:t>
            </w:r>
          </w:p>
        </w:tc>
      </w:tr>
      <w:tr>
        <w:trPr>
          <w:cantSplit w:val="0"/>
          <w:trHeight w:val="294.4775390624999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ind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gn7hwz6ylwkw" w:id="16"/>
            <w:bookmarkEnd w:id="1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(Bus77)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x59xij9q2il" w:id="17"/>
            <w:bookmarkEnd w:id="17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Электропитание: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jsh8pplcu5hp" w:id="18"/>
            <w:bookmarkEnd w:id="18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24V DC 0.5A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PoE 802.3at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Звук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1W x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Датчик приближения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есть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cecjuyuwyxxx" w:id="19"/>
            <w:bookmarkEnd w:id="19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Потребляемая мощность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vakbcvs1k1w" w:id="20"/>
            <w:bookmarkEnd w:id="2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до 12Вт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Рабочая температура, °С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от 0 до 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5o1ofgmr4ayp" w:id="21"/>
            <w:bookmarkEnd w:id="21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Размеры (ШхВхГ), мм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155х87х37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l72tgy7hqovg" w:id="22"/>
            <w:bookmarkEnd w:id="22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Материал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алюминий, пластик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e9a89cols36" w:id="23"/>
            <w:bookmarkEnd w:id="23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Вес, гр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350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19qvh0egwnt5" w:id="24"/>
            <w:bookmarkEnd w:id="24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Операционная система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y2goqod2qnh" w:id="25"/>
            <w:bookmarkEnd w:id="2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Android 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Класс защиты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IP20</w:t>
            </w:r>
          </w:p>
        </w:tc>
      </w:tr>
    </w:tbl>
    <w:p w:rsidR="00000000" w:rsidDel="00000000" w:rsidP="00000000" w:rsidRDefault="00000000" w:rsidRPr="00000000" w14:paraId="0000003F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3. Габариты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360" w:lineRule="auto"/>
        <w:ind w:firstLine="0"/>
        <w:jc w:val="left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Microsoft Yahei" w:cs="Microsoft Yahei" w:eastAsia="Microsoft Yahei" w:hAnsi="Microsoft Yahei"/>
          <w:color w:val="e06666"/>
        </w:rPr>
        <w:drawing>
          <wp:inline distB="114300" distT="114300" distL="114300" distR="114300">
            <wp:extent cx="3276600" cy="316230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4. Клеммы и индикация</w:t>
      </w:r>
    </w:p>
    <w:p w:rsidR="00000000" w:rsidDel="00000000" w:rsidP="00000000" w:rsidRDefault="00000000" w:rsidRPr="00000000" w14:paraId="00000045">
      <w:pPr>
        <w:spacing w:after="120" w:before="120" w:line="360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Microsoft Yahei" w:cs="Microsoft Yahei" w:eastAsia="Microsoft Yahei" w:hAnsi="Microsoft Yahei"/>
          <w:color w:val="e06666"/>
        </w:rPr>
        <w:drawing>
          <wp:inline distB="114300" distT="114300" distL="114300" distR="114300">
            <wp:extent cx="2892232" cy="3766628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2232" cy="3766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5153.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76.82"/>
        <w:gridCol w:w="2576.82"/>
        <w:tblGridChange w:id="0">
          <w:tblGrid>
            <w:gridCol w:w="2576.82"/>
            <w:gridCol w:w="2576.82"/>
          </w:tblGrid>
        </w:tblGridChange>
      </w:tblGrid>
      <w:tr>
        <w:trPr>
          <w:cantSplit w:val="0"/>
          <w:trHeight w:val="327.578124999999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Нижние разъемы (слева направо)</w:t>
            </w:r>
          </w:p>
        </w:tc>
      </w:tr>
      <w:tr>
        <w:trPr>
          <w:cantSplit w:val="0"/>
          <w:trHeight w:val="482.130115199449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Разъем для подключения с компьютерной сети</w:t>
            </w:r>
          </w:p>
        </w:tc>
      </w:tr>
      <w:tr>
        <w:trPr>
          <w:cantSplit w:val="0"/>
          <w:trHeight w:val="1100.3380759972479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+ питание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Последовательность пинов (слева направо):</w:t>
            </w:r>
          </w:p>
          <w:p w:rsidR="00000000" w:rsidDel="00000000" w:rsidP="00000000" w:rsidRDefault="00000000" w:rsidRPr="00000000" w14:paraId="0000004C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24V</w:t>
            </w:r>
          </w:p>
          <w:p w:rsidR="00000000" w:rsidDel="00000000" w:rsidP="00000000" w:rsidRDefault="00000000" w:rsidRPr="00000000" w14:paraId="0000004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GND</w:t>
            </w:r>
          </w:p>
          <w:p w:rsidR="00000000" w:rsidDel="00000000" w:rsidP="00000000" w:rsidRDefault="00000000" w:rsidRPr="00000000" w14:paraId="0000004E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L</w:t>
            </w:r>
          </w:p>
          <w:p w:rsidR="00000000" w:rsidDel="00000000" w:rsidP="00000000" w:rsidRDefault="00000000" w:rsidRPr="00000000" w14:paraId="0000004F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H</w:t>
            </w:r>
          </w:p>
        </w:tc>
      </w:tr>
    </w:tbl>
    <w:p w:rsidR="00000000" w:rsidDel="00000000" w:rsidP="00000000" w:rsidRDefault="00000000" w:rsidRPr="00000000" w14:paraId="00000050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bookmarkStart w:colFirst="0" w:colLast="0" w:name="_a6wfytol8pn" w:id="26"/>
      <w:bookmarkEnd w:id="26"/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Кнопки:</w:t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POWER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Кратковременное нажатие выключает дисплей, долговременное нажатие более 3 секунд вызывает окно для выключения панели.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RECOVERY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удержание в загрузчике производит загрузку системы восстановления. Прочий функционал определяется прикладным программным обеспечением.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5. Подключение и монтаж</w:t>
      </w:r>
    </w:p>
    <w:p w:rsidR="00000000" w:rsidDel="00000000" w:rsidP="00000000" w:rsidRDefault="00000000" w:rsidRPr="00000000" w14:paraId="00000057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подключения питания и шины использовать кабель — витая пара UTP, FTP от CAT5 и выше: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ТОЛЬКО медные жилы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ДИАМЕТР (НЕ сечение) жилы от 0,51мм (AWG 24)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Омическое сопротивления должно быть не более 9,4 Ом на 100 метров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2 жилы на шину, 2 жилы на питание, 4 жилы резерв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работы требуется доступ в сеть интернет. В подрозетник или в короб требуется закладывать интернет кабель (UTP, FTP от CAT5 и выше, без POE подойдет 2 пары, с POE - 4 пары)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 и техническое обслуживание изделия должно производиться только подготовленными специалистами с соблюдением мер безопасности.</w:t>
      </w:r>
    </w:p>
    <w:p w:rsidR="00000000" w:rsidDel="00000000" w:rsidP="00000000" w:rsidRDefault="00000000" w:rsidRPr="00000000" w14:paraId="0000005F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Все работы по подключению изделия должны производиться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только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отключенном напряжении.</w:t>
      </w:r>
    </w:p>
    <w:p w:rsidR="00000000" w:rsidDel="00000000" w:rsidP="00000000" w:rsidRDefault="00000000" w:rsidRPr="00000000" w14:paraId="00000060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7. Использование по назначению </w:t>
      </w:r>
    </w:p>
    <w:p w:rsidR="00000000" w:rsidDel="00000000" w:rsidP="00000000" w:rsidRDefault="00000000" w:rsidRPr="00000000" w14:paraId="00000062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 устройству посредством разъемов подключаются устройства шин CAN, LAN интерфейс подключаются IP устройства.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 помощью установленного программного обеспечения производится опрос и управление подключенными устройствами.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Визуализация пользовательского интерфейса для отображения и управления устройствами в реальном времени.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Логика получения, обработки, передачи, сохранения данных задается пользователем системы в специализированном программном обеспечении.</w:t>
      </w:r>
    </w:p>
    <w:p w:rsidR="00000000" w:rsidDel="00000000" w:rsidP="00000000" w:rsidRDefault="00000000" w:rsidRPr="00000000" w14:paraId="00000067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устройства определяется установленным прикладным программным  обеспечением и лицензией на это ПО:</w:t>
        <w:br w:type="textWrapping"/>
      </w:r>
    </w:p>
    <w:tbl>
      <w:tblPr>
        <w:tblStyle w:val="Table3"/>
        <w:tblW w:w="5310.0" w:type="dxa"/>
        <w:jc w:val="left"/>
        <w:tblInd w:w="-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40"/>
        <w:gridCol w:w="1710"/>
        <w:gridCol w:w="1860"/>
        <w:tblGridChange w:id="0">
          <w:tblGrid>
            <w:gridCol w:w="1740"/>
            <w:gridCol w:w="1710"/>
            <w:gridCol w:w="1860"/>
          </w:tblGrid>
        </w:tblGridChange>
      </w:tblGrid>
      <w:tr>
        <w:trPr>
          <w:cantSplit w:val="0"/>
          <w:trHeight w:val="200.71484374999997" w:hRule="atLeast"/>
          <w:tblHeader w:val="0"/>
        </w:trPr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i3 pro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i3 KNX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Bus77 Home Server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ind w:left="0" w:right="-125.78740157480311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ind w:lef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ind w:right="-27.51968503936979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13040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13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2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8. Текущий ремонт</w:t>
      </w:r>
    </w:p>
    <w:p w:rsidR="00000000" w:rsidDel="00000000" w:rsidP="00000000" w:rsidRDefault="00000000" w:rsidRPr="00000000" w14:paraId="00000073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обнаружении неисправности в ходе эксплуатации необходимо немедленно отключить устройство от питающей сети и вызвать обслуживающий персонал. Ремонт устройства в течение гарантийного срока и сервисное обслуживание осуществляет производитель устройства.</w:t>
      </w:r>
    </w:p>
    <w:p w:rsidR="00000000" w:rsidDel="00000000" w:rsidP="00000000" w:rsidRDefault="00000000" w:rsidRPr="00000000" w14:paraId="00000075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9. Хранение, транспортировка, срок службы</w:t>
      </w:r>
    </w:p>
    <w:p w:rsidR="00000000" w:rsidDel="00000000" w:rsidP="00000000" w:rsidRDefault="00000000" w:rsidRPr="00000000" w14:paraId="00000077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Изделия должны храниться в упаковке при температуре от 0°С до +40°С и относительной влажности воздуха до 80% на отапливаемых и естественно вентилируемых складах, в хранилищах с кондиционированием воздуха, при отсутствии в нем агрессивных примесей, токопроводящей пыли, паров кислот и щелочей, а также газов, вызывающих коррозию и разрушающих изоляцию. Транспортирование изделий должно осуществляться в упакованном виде в контейнерах, закрытых железнодорожных вагонах, отапливаемых герметизированных отсеках самолетов и трюмов, а также автомобильным транспортом с защитой от осадков на любые расстояния при температуре от -50￮С до +50￮С, при относительной влажности воздуха до 100% - при 25￮С. При транспортировании изделий должна быть предусмотрена защита от попадания пыли и атмосферных осадков. Средний срок службы изделия — не менее 5 лет.</w:t>
      </w:r>
    </w:p>
    <w:p w:rsidR="00000000" w:rsidDel="00000000" w:rsidP="00000000" w:rsidRDefault="00000000" w:rsidRPr="00000000" w14:paraId="00000079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10. Гарантии изготовителя</w:t>
        <w:br w:type="textWrapping"/>
      </w:r>
    </w:p>
    <w:p w:rsidR="00000000" w:rsidDel="00000000" w:rsidP="00000000" w:rsidRDefault="00000000" w:rsidRPr="00000000" w14:paraId="0000007B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Гарантийный срок эксплуатации — 12 месяцев со дня продажи.</w:t>
      </w:r>
    </w:p>
    <w:p w:rsidR="00000000" w:rsidDel="00000000" w:rsidP="00000000" w:rsidRDefault="00000000" w:rsidRPr="00000000" w14:paraId="0000007C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отсутствии отметки о продаже — с даты изготовления.</w:t>
      </w:r>
    </w:p>
    <w:p w:rsidR="00000000" w:rsidDel="00000000" w:rsidP="00000000" w:rsidRDefault="00000000" w:rsidRPr="00000000" w14:paraId="0000007D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Гарантии изготовителя не распространяются в случаях наличия следов механических повреждений устройства; попадания влаги; превышения допустимого значения питающего напряжения; нарушения правил подключения устройства; внесения в устройство или схемы его подключения модификаций или изменений покупателем либо третьими лицами без согласия изготовителя; при использовании покупателем либо третьимом лицами устройства не по назначению; несоблюдении условий транспортирования; хранения; эксплуатации; монтажа устройства и содержания помещения, установленных в настоящем паспорте и эксплуатационной документации, а также наступления иных обстоятельств, не зависящих от изготовителя.</w:t>
      </w:r>
    </w:p>
    <w:p w:rsidR="00000000" w:rsidDel="00000000" w:rsidP="00000000" w:rsidRDefault="00000000" w:rsidRPr="00000000" w14:paraId="0000007E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 11. Комплектность</w:t>
      </w:r>
    </w:p>
    <w:p w:rsidR="00000000" w:rsidDel="00000000" w:rsidP="00000000" w:rsidRDefault="00000000" w:rsidRPr="00000000" w14:paraId="00000080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Панель 6” настенная встраиваемая - 1шт.</w:t>
      </w:r>
    </w:p>
    <w:p w:rsidR="00000000" w:rsidDel="00000000" w:rsidP="00000000" w:rsidRDefault="00000000" w:rsidRPr="00000000" w14:paraId="00000081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Монтажный короб(опционально) - 1 шт.</w:t>
      </w:r>
    </w:p>
    <w:p w:rsidR="00000000" w:rsidDel="00000000" w:rsidP="00000000" w:rsidRDefault="00000000" w:rsidRPr="00000000" w14:paraId="00000082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Шестигранный ключ - 1 шт.</w:t>
      </w:r>
    </w:p>
    <w:p w:rsidR="00000000" w:rsidDel="00000000" w:rsidP="00000000" w:rsidRDefault="00000000" w:rsidRPr="00000000" w14:paraId="00000083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Анти-кражный винт - 1 шт.</w:t>
      </w:r>
    </w:p>
    <w:p w:rsidR="00000000" w:rsidDel="00000000" w:rsidP="00000000" w:rsidRDefault="00000000" w:rsidRPr="00000000" w14:paraId="00000084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Шаблон для монтажа - 1 шт.</w:t>
      </w:r>
    </w:p>
    <w:p w:rsidR="00000000" w:rsidDel="00000000" w:rsidP="00000000" w:rsidRDefault="00000000" w:rsidRPr="00000000" w14:paraId="00000085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Паспорт - 1 шт.</w:t>
      </w:r>
    </w:p>
    <w:p w:rsidR="00000000" w:rsidDel="00000000" w:rsidP="00000000" w:rsidRDefault="00000000" w:rsidRPr="00000000" w14:paraId="00000086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Упаковка - 1 шт.</w:t>
      </w:r>
    </w:p>
    <w:p w:rsidR="00000000" w:rsidDel="00000000" w:rsidP="00000000" w:rsidRDefault="00000000" w:rsidRPr="00000000" w14:paraId="00000087">
      <w:pPr>
        <w:spacing w:after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12. Утилизация</w:t>
      </w:r>
    </w:p>
    <w:p w:rsidR="00000000" w:rsidDel="00000000" w:rsidP="00000000" w:rsidRDefault="00000000" w:rsidRPr="00000000" w14:paraId="00000089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" w:before="20" w:line="276" w:lineRule="auto"/>
        <w:ind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По окончании срока службы изделие подлежит утилизации в соответствии с законодательством страны пребывания.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134" w:top="708.6614173228347" w:left="708.6614173228347" w:right="575.905511811024" w:header="425" w:footer="851"/>
      <w:pgNumType w:start="1"/>
      <w:cols w:equalWidth="0" w:num="2">
        <w:col w:space="313.65000000000003" w:w="5153.891535433069"/>
        <w:col w:space="0" w:w="5153.891535433069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  <w:font w:name="Microsoft Ya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50949" cy="924918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949" cy="924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16510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393700"/>
          <wp:effectExtent b="0" l="0" r="0" t="0"/>
          <wp:docPr id="5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bCs w:val="1"/>
        <w:color w:val="0000ff"/>
        <w:sz w:val="38"/>
        <w:szCs w:val="38"/>
      </w:rPr>
    </w:pPr>
    <w:r w:rsidDel="00000000" w:rsidR="00000000" w:rsidRPr="00000000">
      <w:rPr>
        <w:rFonts w:ascii="Cambria" w:cs="Cambria" w:eastAsia="Cambria" w:hAnsi="Cambria"/>
        <w:b w:val="1"/>
        <w:bCs w:val="1"/>
        <w:color w:val="0000ff"/>
        <w:sz w:val="38"/>
        <w:szCs w:val="38"/>
      </w:rPr>
      <w:drawing>
        <wp:inline distB="114300" distT="114300" distL="114300" distR="114300">
          <wp:extent cx="6744300" cy="393700"/>
          <wp:effectExtent b="0" l="0" r="0" t="0"/>
          <wp:docPr id="4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9.jp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3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