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pjhly2ry33kx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zcf1ctc5h03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13"/>
          <w:szCs w:val="13"/>
          <w:highlight w:val="white"/>
        </w:rPr>
      </w:pPr>
      <w:bookmarkStart w:colFirst="0" w:colLast="0" w:name="_5i89cmfxdcj3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8"/>
          <w:szCs w:val="28"/>
          <w:highlight w:val="white"/>
          <w:rtl w:val="0"/>
        </w:rPr>
        <w:t xml:space="preserve">Панель 10” настенная встраиваемая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6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Устройство с экраном 10" для управления системами автоматизации, аудио-видео оборудованием и IoT устройствами.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IPS-дисплей обеспечивает  работу с интерфейсами визуализации и делает панель полноценным центром управления умным домом или офисом. На экране удобно отображаются сценарии, управление освещением и климатом, мультимедиа, IP-камеры и другие элементы системы.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Высокая производительность аппаратной платформы обеспечивает плавную работу интерфейсов и быструю реакцию системы. Панель поддерживает как шаблонные, так и полностью кастомные интерфейсы управления, что позволяет адаптировать систему под задачи конкретного проекта.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зависит от прилагаемого прикладного программного обеспечения.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Ссылка на электронную версию документацию: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iridi.com/ru/d/P10bb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p w:rsidR="00000000" w:rsidDel="00000000" w:rsidP="00000000" w:rsidRDefault="00000000" w:rsidRPr="00000000" w14:paraId="0000000F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3075"/>
        <w:tblGridChange w:id="0">
          <w:tblGrid>
            <w:gridCol w:w="2085"/>
            <w:gridCol w:w="30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4g3urw5l5pn4" w:id="3"/>
            <w:bookmarkEnd w:id="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Процессор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1ukt4fmj7qlb" w:id="4"/>
            <w:bookmarkEnd w:id="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RK3399 Rockchip</w:t>
            </w:r>
          </w:p>
          <w:p w:rsidR="00000000" w:rsidDel="00000000" w:rsidP="00000000" w:rsidRDefault="00000000" w:rsidRPr="00000000" w14:paraId="0000001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fz3skiqildu" w:id="5"/>
            <w:bookmarkEnd w:id="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x Cortex-A72 2000 МГц, 4 x Cortex-A53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x6t8ua6pwr" w:id="6"/>
            <w:bookmarkEnd w:id="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Оперативная память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14vuzrp7i47" w:id="7"/>
            <w:bookmarkEnd w:id="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GB, DDR4</w:t>
            </w:r>
          </w:p>
        </w:tc>
      </w:tr>
      <w:tr>
        <w:trPr>
          <w:cantSplit w:val="0"/>
          <w:trHeight w:val="135.15624999999997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gyk8u6zysav" w:id="8"/>
            <w:bookmarkEnd w:id="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Энергонезависимая память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ct7wi3t6spp3" w:id="9"/>
            <w:bookmarkEnd w:id="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16 GB, eMMC Flash 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c9zbme19uk" w:id="10"/>
            <w:bookmarkEnd w:id="1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Часы реального времени (RTC)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spk5vqvs09ff" w:id="11"/>
            <w:bookmarkEnd w:id="1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есть, </w:t>
              <w:br w:type="textWrapping"/>
              <w:t xml:space="preserve">батарея литиевая CR1220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Экран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емкостный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Диагональ экрана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10”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Технология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IPS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Разрешение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1280X800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Яркость, cd/m2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350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Угол обзора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не менее 170°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j2681spg0g3n" w:id="12"/>
            <w:bookmarkEnd w:id="1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Интерфейсы: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nfjulbd59esj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tcyjht3ajgpa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jcpyokpif23" w:id="15"/>
            <w:bookmarkEnd w:id="1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 100 Мбит/с </w:t>
            </w:r>
          </w:p>
        </w:tc>
      </w:tr>
      <w:tr>
        <w:trPr>
          <w:cantSplit w:val="0"/>
          <w:trHeight w:val="294.4775390624999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a6fae5hxakzf" w:id="16"/>
            <w:bookmarkEnd w:id="1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(Bus77)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hhjtq30wwet" w:id="17"/>
            <w:bookmarkEnd w:id="1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Электропитание: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jvoo2c3upun" w:id="18"/>
            <w:bookmarkEnd w:id="1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 DC 0.5A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PoE 802.3at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Звук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Lines w:val="1"/>
              <w:shd w:fill="ffffff" w:val="clear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g13hxn813nuh" w:id="19"/>
            <w:bookmarkEnd w:id="1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1W x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Датчик приближения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0kxgxhruxs5" w:id="20"/>
            <w:bookmarkEnd w:id="2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Потребляемая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a4mz8b4k30ri" w:id="21"/>
            <w:bookmarkEnd w:id="2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до 12Вт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Рабочая температура, °С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от 0 до 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g3wpvsxy80d4" w:id="22"/>
            <w:bookmarkEnd w:id="2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Размеры (ШхВхГ), мм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251х154х37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oetps6qo47gk" w:id="23"/>
            <w:bookmarkEnd w:id="2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алюминий, пластик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9sgrlereixru" w:id="24"/>
            <w:bookmarkEnd w:id="2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Вес, гр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800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kwnankkqpuxy" w:id="25"/>
            <w:bookmarkEnd w:id="2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Операционная система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25526yw9omv" w:id="26"/>
            <w:bookmarkEnd w:id="2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Android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Класс защиты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IP20</w:t>
            </w:r>
          </w:p>
        </w:tc>
      </w:tr>
    </w:tbl>
    <w:p w:rsidR="00000000" w:rsidDel="00000000" w:rsidP="00000000" w:rsidRDefault="00000000" w:rsidRPr="00000000" w14:paraId="00000043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3457575" cy="1892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4. Клеммы и индикация</w:t>
      </w:r>
    </w:p>
    <w:p w:rsidR="00000000" w:rsidDel="00000000" w:rsidP="00000000" w:rsidRDefault="00000000" w:rsidRPr="00000000" w14:paraId="00000049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</w:rPr>
        <w:drawing>
          <wp:inline distB="114300" distT="114300" distL="114300" distR="114300">
            <wp:extent cx="3039938" cy="427936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9938" cy="4279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5437.51999999999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8.7599999999998"/>
        <w:gridCol w:w="2718.7599999999998"/>
        <w:tblGridChange w:id="0">
          <w:tblGrid>
            <w:gridCol w:w="2718.7599999999998"/>
            <w:gridCol w:w="2718.7599999999998"/>
          </w:tblGrid>
        </w:tblGridChange>
      </w:tblGrid>
      <w:tr>
        <w:trPr>
          <w:cantSplit w:val="0"/>
          <w:trHeight w:val="327.578124999999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Нижние разъемы (слева направо)</w:t>
            </w:r>
          </w:p>
        </w:tc>
      </w:tr>
      <w:tr>
        <w:trPr>
          <w:cantSplit w:val="0"/>
          <w:trHeight w:val="482.130115199449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с компьютерной сети</w:t>
            </w:r>
          </w:p>
        </w:tc>
      </w:tr>
      <w:tr>
        <w:trPr>
          <w:cantSplit w:val="0"/>
          <w:trHeight w:val="1100.3380759972479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+ питание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Последовательность пинов (слева направо):</w:t>
            </w:r>
          </w:p>
          <w:p w:rsidR="00000000" w:rsidDel="00000000" w:rsidP="00000000" w:rsidRDefault="00000000" w:rsidRPr="00000000" w14:paraId="00000050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</w:t>
            </w:r>
          </w:p>
          <w:p w:rsidR="00000000" w:rsidDel="00000000" w:rsidP="00000000" w:rsidRDefault="00000000" w:rsidRPr="00000000" w14:paraId="00000051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GND</w:t>
            </w:r>
          </w:p>
          <w:p w:rsidR="00000000" w:rsidDel="00000000" w:rsidP="00000000" w:rsidRDefault="00000000" w:rsidRPr="00000000" w14:paraId="00000052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L</w:t>
            </w:r>
          </w:p>
          <w:p w:rsidR="00000000" w:rsidDel="00000000" w:rsidP="00000000" w:rsidRDefault="00000000" w:rsidRPr="00000000" w14:paraId="00000053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H</w:t>
            </w:r>
          </w:p>
        </w:tc>
      </w:tr>
    </w:tbl>
    <w:p w:rsidR="00000000" w:rsidDel="00000000" w:rsidP="00000000" w:rsidRDefault="00000000" w:rsidRPr="00000000" w14:paraId="00000054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bookmarkStart w:colFirst="0" w:colLast="0" w:name="_i2hde341w4bd" w:id="27"/>
      <w:bookmarkEnd w:id="27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Кнопки:</w:t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POWER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Кратковременное нажатие выключает дисплей, долговременное нажатие более 3 секунд вызывает окно для выключения панели.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RECOVERY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удержание в загрузчике производит загрузку системы восстановления. Прочий функционал определяется прикладным программным обеспечением.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5. Подключение и монтаж</w:t>
      </w:r>
    </w:p>
    <w:p w:rsidR="00000000" w:rsidDel="00000000" w:rsidP="00000000" w:rsidRDefault="00000000" w:rsidRPr="00000000" w14:paraId="0000005B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подключения питания и шины использовать кабель — витая пара UTP, FTP от CAT5 и выше: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ТОЛЬКО медные жилы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ДИАМЕТР (НЕ сечение) жилы от 0,51мм (AWG 24)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Омическое сопротивления должно быть не более 9,4 Ом на 100 метров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2 жилы на шину, 2 жилы на питание, 4 жилы резерв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работы требуется доступ в сеть интернет. В подрозетник или в короб требуется закладывать интернет кабель (UTP, FTP от CAT5 и выше, без POE подойдет 2 пары, с POE - 4 пары)</w:t>
      </w:r>
    </w:p>
    <w:p w:rsidR="00000000" w:rsidDel="00000000" w:rsidP="00000000" w:rsidRDefault="00000000" w:rsidRPr="00000000" w14:paraId="00000062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 и техническое обслуживание изделия должно производиться только подготовленными специалистами с соблюдением мер безопасности.</w:t>
      </w:r>
    </w:p>
    <w:p w:rsidR="00000000" w:rsidDel="00000000" w:rsidP="00000000" w:rsidRDefault="00000000" w:rsidRPr="00000000" w14:paraId="00000063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Все работы по подключению изделия должны производиться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только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отключенном напряжении.</w:t>
      </w:r>
    </w:p>
    <w:p w:rsidR="00000000" w:rsidDel="00000000" w:rsidP="00000000" w:rsidRDefault="00000000" w:rsidRPr="00000000" w14:paraId="00000064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7. Использование по назначению </w:t>
      </w:r>
    </w:p>
    <w:p w:rsidR="00000000" w:rsidDel="00000000" w:rsidP="00000000" w:rsidRDefault="00000000" w:rsidRPr="00000000" w14:paraId="00000066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 устройству посредством разъемов подключаются устройства шин CAN, LAN интерфейс подключаются IP устройства.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 помощью установленного программного обеспечения производится опрос и управление подключенными устройствами.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Визуализация пользовательского интерфейса для отображения и управления устройствами в реальном времени.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Логика получения, обработки, передачи, сохранения данных задается пользователем системы в специализированном программном обеспечении.</w:t>
      </w:r>
    </w:p>
    <w:p w:rsidR="00000000" w:rsidDel="00000000" w:rsidP="00000000" w:rsidRDefault="00000000" w:rsidRPr="00000000" w14:paraId="0000006B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устройства определяется установленным прикладным программным  обеспечением и лицензией на это ПО:</w:t>
        <w:br w:type="textWrapping"/>
      </w:r>
    </w:p>
    <w:tbl>
      <w:tblPr>
        <w:tblStyle w:val="Table3"/>
        <w:tblW w:w="5310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40"/>
        <w:gridCol w:w="1710"/>
        <w:gridCol w:w="1860"/>
        <w:tblGridChange w:id="0">
          <w:tblGrid>
            <w:gridCol w:w="1740"/>
            <w:gridCol w:w="1710"/>
            <w:gridCol w:w="1860"/>
          </w:tblGrid>
        </w:tblGridChange>
      </w:tblGrid>
      <w:tr>
        <w:trPr>
          <w:cantSplit w:val="0"/>
          <w:trHeight w:val="200.71484374999997" w:hRule="atLeast"/>
          <w:tblHeader w:val="0"/>
        </w:trPr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i3 pro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i3 KNX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Bus77 Home Server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0" w:right="-125.78740157480311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ind w:lef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1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right="-27.51968503936979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13040"/>
                  <wp:effectExtent b="0" l="0" r="0" t="0"/>
                  <wp:docPr id="5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13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3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8. Текущий ремонт</w:t>
      </w:r>
    </w:p>
    <w:p w:rsidR="00000000" w:rsidDel="00000000" w:rsidP="00000000" w:rsidRDefault="00000000" w:rsidRPr="00000000" w14:paraId="00000077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производитель устройства.</w:t>
      </w:r>
    </w:p>
    <w:p w:rsidR="00000000" w:rsidDel="00000000" w:rsidP="00000000" w:rsidRDefault="00000000" w:rsidRPr="00000000" w14:paraId="00000079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9. Хранение, транспортировка, срок службы</w:t>
      </w:r>
    </w:p>
    <w:p w:rsidR="00000000" w:rsidDel="00000000" w:rsidP="00000000" w:rsidRDefault="00000000" w:rsidRPr="00000000" w14:paraId="0000007B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относительной влажности воздуха до 80%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7D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10. Гарантии изготовителя</w:t>
        <w:br w:type="textWrapping"/>
      </w:r>
    </w:p>
    <w:p w:rsidR="00000000" w:rsidDel="00000000" w:rsidP="00000000" w:rsidRDefault="00000000" w:rsidRPr="00000000" w14:paraId="0000007F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12 месяцев со дня продажи.</w:t>
      </w:r>
    </w:p>
    <w:p w:rsidR="00000000" w:rsidDel="00000000" w:rsidP="00000000" w:rsidRDefault="00000000" w:rsidRPr="00000000" w14:paraId="00000080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81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82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 11. Комплектность</w:t>
      </w:r>
    </w:p>
    <w:p w:rsidR="00000000" w:rsidDel="00000000" w:rsidP="00000000" w:rsidRDefault="00000000" w:rsidRPr="00000000" w14:paraId="00000084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Панель 10” настенная встраиваемая. - 1шт.</w:t>
      </w:r>
    </w:p>
    <w:p w:rsidR="00000000" w:rsidDel="00000000" w:rsidP="00000000" w:rsidRDefault="00000000" w:rsidRPr="00000000" w14:paraId="00000085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Монтажный короб(опционально) -1 шт.</w:t>
      </w:r>
    </w:p>
    <w:p w:rsidR="00000000" w:rsidDel="00000000" w:rsidP="00000000" w:rsidRDefault="00000000" w:rsidRPr="00000000" w14:paraId="00000086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Шестигранный ключ  - 1 шт.</w:t>
      </w:r>
    </w:p>
    <w:p w:rsidR="00000000" w:rsidDel="00000000" w:rsidP="00000000" w:rsidRDefault="00000000" w:rsidRPr="00000000" w14:paraId="00000087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Анти-кражный винт - 1 шт.</w:t>
      </w:r>
    </w:p>
    <w:p w:rsidR="00000000" w:rsidDel="00000000" w:rsidP="00000000" w:rsidRDefault="00000000" w:rsidRPr="00000000" w14:paraId="00000088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Шаблон для монтажа - 1 шт.</w:t>
      </w:r>
    </w:p>
    <w:p w:rsidR="00000000" w:rsidDel="00000000" w:rsidP="00000000" w:rsidRDefault="00000000" w:rsidRPr="00000000" w14:paraId="00000089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Паспорт - 1 шт.</w:t>
      </w:r>
    </w:p>
    <w:p w:rsidR="00000000" w:rsidDel="00000000" w:rsidP="00000000" w:rsidRDefault="00000000" w:rsidRPr="00000000" w14:paraId="0000008A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Упаковка - 1 шт.</w:t>
      </w:r>
    </w:p>
    <w:p w:rsidR="00000000" w:rsidDel="00000000" w:rsidP="00000000" w:rsidRDefault="00000000" w:rsidRPr="00000000" w14:paraId="0000008B">
      <w:pPr>
        <w:spacing w:after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12. Утилизация</w:t>
      </w:r>
    </w:p>
    <w:p w:rsidR="00000000" w:rsidDel="00000000" w:rsidP="00000000" w:rsidRDefault="00000000" w:rsidRPr="00000000" w14:paraId="0000008D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4" w:top="708.6614173228347" w:left="425.1968503937008" w:right="291.61417322834666" w:header="425" w:footer="851"/>
      <w:pgNumType w:start="1"/>
      <w:cols w:equalWidth="0" w:num="2">
        <w:col w:space="313.65000000000003" w:w="5437.769488188975"/>
        <w:col w:space="0" w:w="5437.769488188975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Microsoft Yahe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bCs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6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6.jp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9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